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1134" w:right="1416"/>
        <w:jc w:val="center"/>
        <w:rPr>
          <w:rFonts w:ascii="Times New Roman" w:hAnsi="Times New Roman"/>
          <w:i w:val="1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 показателях доступности и качества медицинской помощи, установленных в Территориальной   программе государственных гарантий бесплатного оказания гражданам медицинской помощи на соответствующий год</w:t>
      </w:r>
    </w:p>
    <w:p w14:paraId="02000000">
      <w:pPr>
        <w:tabs>
          <w:tab w:leader="none" w:pos="1188" w:val="left"/>
        </w:tabs>
        <w:ind/>
      </w:pPr>
    </w:p>
    <w:p w14:paraId="03000000">
      <w:pPr>
        <w:pStyle w:val="Style_1"/>
        <w:widowControl w:val="0"/>
        <w:spacing w:after="0" w:before="0" w:line="240" w:lineRule="auto"/>
        <w:ind w:firstLine="0" w:left="1134" w:right="141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значения критериев доступности и качества медицинской помощи</w:t>
      </w:r>
    </w:p>
    <w:tbl>
      <w:tblPr>
        <w:tblInd w:type="dxa" w:w="-5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21"/>
        <w:gridCol w:w="5711"/>
        <w:gridCol w:w="1270"/>
        <w:gridCol w:w="709"/>
        <w:gridCol w:w="709"/>
        <w:gridCol w:w="684"/>
      </w:tblGrid>
      <w:tr>
        <w:tc>
          <w:tcPr>
            <w:tcW w:type="dxa" w:w="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0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type="dxa" w:w="57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критерия</w:t>
            </w:r>
          </w:p>
        </w:tc>
        <w:tc>
          <w:tcPr>
            <w:tcW w:type="dxa" w:w="1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21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Целевое значение критерия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57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rPr>
          <w:trHeight w:hRule="atLeast" w:val="370"/>
        </w:trPr>
        <w:tc>
          <w:tcPr>
            <w:tcW w:type="dxa" w:w="95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Критерии доступности медицинской помощи</w:t>
            </w:r>
          </w:p>
        </w:tc>
      </w:tr>
      <w:tr>
        <w:tc>
          <w:tcPr>
            <w:tcW w:type="dxa" w:w="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1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Удовлетворенность населения медицинской помощью, в том числе</w:t>
            </w:r>
          </w:p>
          <w:p w14:paraId="15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от числа опрошенных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atLeast" w:val="20"/>
        </w:trPr>
        <w:tc>
          <w:tcPr>
            <w:tcW w:type="dxa" w:w="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городского населения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c>
          <w:tcPr>
            <w:tcW w:type="dxa" w:w="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сельского населения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  <w:p w14:paraId="2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</w:p>
        </w:tc>
      </w:tr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2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  <w:p w14:paraId="2B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</w:t>
            </w:r>
          </w:p>
        </w:tc>
      </w:tr>
      <w:tr>
        <w:trPr>
          <w:trHeight w:hRule="atLeast" w:val="1101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ОМС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</w:tr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получивших паллиативную медицинскую помощь, из общего числа пациентов, нуждающихся в паллиативной медицинской помощи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</w:tr>
      <w:tr>
        <w:trPr>
          <w:trHeight w:hRule="atLeast" w:val="646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Обеспеченность выездными патронажными бригадами паллиативной медицинской помощи: к взрослым,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на 100 000 взрослых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</w:tr>
      <w:tr>
        <w:trPr>
          <w:trHeight w:hRule="atLeast" w:val="955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3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переведенных из структурных подразделений медицинских организаций, оказывающих паллиативную медицинскую помощь в стационарных условиях, в организации социального обслуживания, от общего числа пролеченных пациентов по паллиативной медицинской помощи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9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случаев пациентов, страдающих хроническими неинфекционными заболеваниями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34,5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F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55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5B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в возрасте от 2 до 17 лет с диагнозом  «сахарный диабет»,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61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</w:t>
            </w:r>
          </w:p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50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50</w:t>
            </w:r>
          </w:p>
        </w:tc>
      </w:tr>
    </w:tbl>
    <w:p w14:paraId="67000000">
      <w:pPr>
        <w:pStyle w:val="Style_1"/>
      </w:pPr>
    </w:p>
    <w:tbl>
      <w:tblPr>
        <w:tblInd w:type="dxa" w:w="-5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21"/>
        <w:gridCol w:w="5711"/>
        <w:gridCol w:w="1270"/>
        <w:gridCol w:w="709"/>
        <w:gridCol w:w="709"/>
        <w:gridCol w:w="684"/>
      </w:tblGrid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6F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75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  <w:p w14:paraId="76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7C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случаев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2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82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200"/>
        </w:trPr>
        <w:tc>
          <w:tcPr>
            <w:tcW w:type="dxa" w:w="9504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8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Критерии доступности медицинской помощи для федеральных медицинских организаций</w:t>
            </w:r>
          </w:p>
        </w:tc>
      </w:tr>
      <w:tr>
        <w:trPr>
          <w:trHeight w:hRule="atLeast" w:val="774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89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объема специализированной, в том числе высокотех-нологичной, медицинской помощи с коэффициентом отно-сительной затратоемкости, равным 2 и более, в объеме оказанной специализированной, в том числе высокотехнологичной, медицинской помощи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60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70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70</w:t>
            </w:r>
          </w:p>
        </w:tc>
      </w:tr>
      <w:tr>
        <w:trPr>
          <w:trHeight w:hRule="atLeast" w:val="607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8F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доходов за счет средств ОМС в общем объеме доходов медицинской организации (оказание медицинской помощи при заболеваниях и состояниях, входящих в базовую программу ОМС)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менее 20</w:t>
            </w:r>
          </w:p>
        </w:tc>
      </w:tr>
      <w:tr>
        <w:trPr>
          <w:trHeight w:hRule="atLeast" w:val="383"/>
        </w:trPr>
        <w:tc>
          <w:tcPr>
            <w:tcW w:type="dxa" w:w="9504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9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Критерии качества медицинской помощи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96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4,1</w:t>
            </w:r>
          </w:p>
        </w:tc>
      </w:tr>
      <w:tr>
        <w:trPr>
          <w:trHeight w:hRule="atLeast" w:val="7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00000">
            <w:pPr>
              <w:pStyle w:val="Style_1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9C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D000000">
            <w:pPr>
              <w:pStyle w:val="Style_1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A2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за-регистрированных онкологических заболеваний в течение года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4,8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A8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AE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</w:tr>
      <w:tr>
        <w:trPr>
          <w:trHeight w:hRule="atLeast" w:val="181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B4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BA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 инфарктом миокарда, которым про-ведено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</w:t>
            </w:r>
          </w:p>
        </w:tc>
      </w:tr>
      <w:tr>
        <w:trPr>
          <w:trHeight w:hRule="atLeast" w:val="1301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C0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C6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 инфарктом миокарда, которым про-ведена тромболитическая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CC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ОМС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>
        <w:trPr>
          <w:trHeight w:hRule="atLeast" w:val="245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D2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D8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госпитализи-рованных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</w:tr>
      <w:tr>
        <w:trPr>
          <w:trHeight w:hRule="atLeast" w:val="84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DE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госпитализиро-ванных в первичные сосудистые отделения или региональные сосудистые центры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0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E4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пал-лиативной медицинской помощи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6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EA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C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F0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2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3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4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F6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8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9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A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>
        <w:trPr>
          <w:trHeight w:hRule="atLeast" w:val="241"/>
        </w:trPr>
        <w:tc>
          <w:tcPr>
            <w:tcW w:type="dxa" w:w="42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FC00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мужчин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E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F00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>
        <w:trPr>
          <w:trHeight w:hRule="atLeast" w:val="20"/>
        </w:trPr>
        <w:tc>
          <w:tcPr>
            <w:tcW w:type="dxa" w:w="42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01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женщин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07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0D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циклов экстракорпорального оплодотворения, выполняемых медицинской организацией в течение одного года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1696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1696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1696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13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19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1F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Госпитализация с диагнозом «бронхиальная астма»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случаев гос-питализации на 100 тыс. населения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25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Госпитализация с диагнозом «хроническая обструктивная болезнь легких»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случаев гос-питализации на 100 тыс. населения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</w:tr>
      <w:tr>
        <w:trPr>
          <w:trHeight w:hRule="atLeast" w:val="384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2B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Госпитализация с диагнозом «хроническая сердечная недостаточность»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случаев гос-питализа-ции на 100 тыс. населения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1,6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1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Госпитализация с диагнозом «гипертоническая болезнь»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случаев гос-питализации на 100 тыс. населения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212,3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212,3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212,3</w:t>
            </w:r>
          </w:p>
        </w:tc>
      </w:tr>
      <w:tr>
        <w:trPr>
          <w:trHeight w:hRule="atLeast" w:val="549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7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Госпитализация с диагнозом «сахарный диабет»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случаев гос-питализации на 100 тыс. населения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258,3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258,3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258,3</w:t>
            </w:r>
          </w:p>
        </w:tc>
      </w:tr>
      <w:tr>
        <w:trPr>
          <w:trHeight w:hRule="atLeast" w:val="62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3D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прооперированных в течение 2 дней после поступления в стационар по поводу перелома шейки бедра, от всех случаев прооперированных с данным диагнозом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58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3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диспансерным наблюдением граждан, состоящих на учете в медицинской организации с диагнозом «сахарный диабет», процентов в год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</w:tr>
      <w:tr>
        <w:trPr>
          <w:trHeight w:hRule="atLeast" w:val="58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9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диспансерным наблюдением граждан, состоящих на учете в медицинской организации с диагнозом «хроническая обструктивная болезнь легких», процентов в год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</w:tr>
      <w:tr>
        <w:trPr>
          <w:trHeight w:hRule="atLeast" w:val="58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4F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</w:tr>
      <w:tr>
        <w:trPr>
          <w:trHeight w:hRule="atLeast" w:val="58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55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562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pStyle w:val="Style_1"/>
              <w:spacing w:after="160" w:before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5B010000">
            <w:pPr>
              <w:pStyle w:val="Style_1"/>
              <w:widowControl w:val="0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пациентов с гепатитом C, получивших противовирусную терапию, на 100 тыс. населения в год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33,9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34,4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34,4</w:t>
            </w:r>
          </w:p>
        </w:tc>
      </w:tr>
      <w:tr>
        <w:trPr>
          <w:trHeight w:hRule="atLeast" w:val="642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61010000">
            <w:pPr>
              <w:pStyle w:val="Style_1"/>
              <w:widowControl w:val="0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642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67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1.12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6D010000">
            <w:pPr>
              <w:pStyle w:val="Style_1"/>
              <w:widowControl w:val="0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73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Направлено к врачу-гериатру не менее 10% пациентов старше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79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старше 65 лет, взятых на диспансерное наблюдение с диагнозом «остеопороз с патологическим переломом» (код МКБ-10 - М80),  «остеопороз без патологического перелома» (код МКБ-10 - М81)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7F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«остеопороз»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2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85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8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8B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  <w:p w14:paraId="8C010000">
            <w:pPr>
              <w:pStyle w:val="Style_1"/>
              <w:spacing w:after="0" w:before="0" w:line="240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E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F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atLeast" w:val="668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1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9201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пациентов старше 65 лет, направленных к врачу-оториноларингологу или врачу 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4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5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6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</w:tr>
      <w:tr>
        <w:trPr>
          <w:trHeight w:hRule="atLeast" w:val="646"/>
        </w:trP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98010000">
            <w:pPr>
              <w:pStyle w:val="Style_1"/>
              <w:widowControl w:val="0"/>
              <w:spacing w:after="0" w:before="0" w:line="228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лиц старше 65 лет, которым проведена противопневмококковая вакцинация (13-валентной и/или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23-валентной вакциной)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9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A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59,2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B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59,2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C010000">
            <w:pPr>
              <w:pStyle w:val="Style_1"/>
              <w:widowControl w:val="0"/>
              <w:spacing w:after="0" w:before="0" w:line="228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59,2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9E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деятельности медицинских организаций на основе оценки выполнения функции врачебной должности (количество посещений на 1 занятую должность врача, ведущего прием), всего</w:t>
            </w:r>
          </w:p>
        </w:tc>
        <w:tc>
          <w:tcPr>
            <w:tcW w:type="dxa" w:w="12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посещений</w:t>
            </w:r>
          </w:p>
          <w:p w14:paraId="A0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1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2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1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A5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городских поселениях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8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1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AA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сельской местности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D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AF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деятельности медицинских организаций на основе оценки показателей рационального и целевого использования коечного фонда (средняя занятость койки в году (количество дней), всего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0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дней в год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1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2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3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1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  <w:vAlign w:val="center"/>
          </w:tcPr>
          <w:p w14:paraId="B5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городских поселениях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601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7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8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9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</w:tr>
      <w:tr>
        <w:tc>
          <w:tcPr>
            <w:tcW w:type="dxa" w:w="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1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57"/>
              <w:bottom w:type="dxa" w:w="28"/>
              <w:right w:type="dxa" w:w="57"/>
            </w:tcMar>
          </w:tcPr>
          <w:p w14:paraId="BB01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сельской местности</w:t>
            </w:r>
          </w:p>
        </w:tc>
        <w:tc>
          <w:tcPr>
            <w:tcW w:type="dxa" w:w="12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1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type="dxa" w:w="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F01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</w:tr>
    </w:tbl>
    <w:p w14:paraId="C0010000">
      <w:pPr>
        <w:widowControl w:val="0"/>
        <w:spacing w:after="0" w:line="240" w:lineRule="auto"/>
        <w:ind w:firstLine="0" w:left="1134" w:right="1416"/>
        <w:jc w:val="center"/>
        <w:rPr>
          <w:rFonts w:ascii="Times New Roman" w:hAnsi="Times New Roman"/>
          <w:sz w:val="28"/>
        </w:rPr>
      </w:pPr>
    </w:p>
    <w:p w14:paraId="C101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2026-01-29T09:20:43Z</dcterms:modified>
</cp:coreProperties>
</file>