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caps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ДИСПАНСЕРИЗАЦИЯ МУЖЧИН И ЖЕНЩИН</w:t>
      </w:r>
    </w:p>
    <w:p w14:paraId="02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РЕПРОДУКТИВНОГО ВОЗРАСТА </w:t>
      </w:r>
    </w:p>
    <w:p w14:paraId="03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 ЦЕЛЬЮ ОЦЕНКИ РЕПРОДУКТИВНОГО ЗДОРОВЬЯ</w:t>
      </w:r>
    </w:p>
    <w:p w14:paraId="04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5000000">
      <w:pPr>
        <w:spacing w:after="0" w:line="240" w:lineRule="auto"/>
        <w:ind w:firstLine="73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2024 года для женщин и мужчин репродуктивного возраста поэтапно в зависимости от возрастных групп организуется проведение диспансеризации, направленной на оценку их репродуктивного здоровья, в порядке, установленном Министерством здравоохранения Российской Федерации.</w:t>
      </w:r>
    </w:p>
    <w:p w14:paraId="06000000">
      <w:pPr>
        <w:spacing w:after="0" w:line="240" w:lineRule="auto"/>
        <w:ind w:firstLine="73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Диспансеризация проводится в целях выявления у граждан признаков заболеваний или состояний, которые могут негативно повлиять на беременность и последующее течение беременности, родов и послеродового периода, а также факторов риска их развития</w:t>
      </w:r>
      <w:r>
        <w:rPr>
          <w:rFonts w:ascii="Times New Roman" w:hAnsi="Times New Roman"/>
          <w:sz w:val="28"/>
        </w:rPr>
        <w:t>.</w:t>
      </w:r>
    </w:p>
    <w:p w14:paraId="07000000">
      <w:pPr>
        <w:spacing w:after="0" w:line="240" w:lineRule="auto"/>
        <w:ind w:firstLine="73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Диспансеризация </w:t>
      </w:r>
      <w:r>
        <w:rPr>
          <w:rFonts w:ascii="Times New Roman" w:hAnsi="Times New Roman"/>
          <w:b w:val="1"/>
          <w:sz w:val="28"/>
        </w:rPr>
        <w:t>женщин</w:t>
      </w:r>
      <w:r>
        <w:rPr>
          <w:rFonts w:ascii="Times New Roman" w:hAnsi="Times New Roman"/>
          <w:sz w:val="28"/>
        </w:rPr>
        <w:t> проводится в женских консультациях/кабинетах врача-акушера-гинеколога поликлинических отделений/поликлиник</w:t>
      </w:r>
      <w:r>
        <w:rPr>
          <w:rFonts w:ascii="Times New Roman" w:hAnsi="Times New Roman"/>
          <w:sz w:val="28"/>
        </w:rPr>
        <w:t>, врачебных амбулаториях</w:t>
      </w:r>
      <w:r>
        <w:rPr>
          <w:rFonts w:ascii="Times New Roman" w:hAnsi="Times New Roman"/>
          <w:sz w:val="28"/>
        </w:rPr>
        <w:t xml:space="preserve"> по месту прикрепления, в том числе с участием выездных мобильных бригад.</w:t>
      </w:r>
    </w:p>
    <w:p w14:paraId="08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Первый этап диспансеризации женщин</w:t>
      </w:r>
      <w:r>
        <w:rPr>
          <w:rFonts w:ascii="Times New Roman" w:hAnsi="Times New Roman"/>
          <w:sz w:val="28"/>
        </w:rPr>
        <w:t> </w:t>
      </w:r>
    </w:p>
    <w:p w14:paraId="09000000">
      <w:pPr>
        <w:spacing w:after="0" w:line="240" w:lineRule="auto"/>
        <w:ind w:firstLine="73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проводится всем женщинам </w:t>
      </w:r>
      <w:r>
        <w:rPr>
          <w:rFonts w:ascii="Times New Roman" w:hAnsi="Times New Roman"/>
          <w:b w:val="1"/>
          <w:sz w:val="28"/>
        </w:rPr>
        <w:t>18 - 49 лет</w:t>
      </w:r>
      <w:r>
        <w:rPr>
          <w:rFonts w:ascii="Times New Roman" w:hAnsi="Times New Roman"/>
          <w:sz w:val="28"/>
        </w:rPr>
        <w:t> и включает в себя:</w:t>
      </w:r>
    </w:p>
    <w:p w14:paraId="0A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Первый этап включает:</w:t>
      </w:r>
    </w:p>
    <w:p w14:paraId="0B000000">
      <w:pPr>
        <w:numPr>
          <w:ilvl w:val="0"/>
          <w:numId w:val="1"/>
        </w:num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рием (осмотр) врачом-акушером-гинекологом.</w:t>
      </w:r>
    </w:p>
    <w:p w14:paraId="0C000000">
      <w:pPr>
        <w:numPr>
          <w:ilvl w:val="0"/>
          <w:numId w:val="1"/>
        </w:num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альпация молочных желез.</w:t>
      </w:r>
    </w:p>
    <w:p w14:paraId="0D000000">
      <w:pPr>
        <w:numPr>
          <w:ilvl w:val="0"/>
          <w:numId w:val="1"/>
        </w:num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смотр шейки матки в зеркалах с забором материала на исследование.</w:t>
      </w:r>
    </w:p>
    <w:p w14:paraId="0E000000">
      <w:pPr>
        <w:numPr>
          <w:ilvl w:val="0"/>
          <w:numId w:val="1"/>
        </w:num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икроскопическое исследование влагалищных мазков.</w:t>
      </w:r>
    </w:p>
    <w:p w14:paraId="0F000000">
      <w:pPr>
        <w:numPr>
          <w:ilvl w:val="0"/>
          <w:numId w:val="1"/>
        </w:num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пределение ДНК вирусов папилломы человека (</w:t>
      </w:r>
      <w:r>
        <w:rPr>
          <w:rFonts w:ascii="Times New Roman" w:hAnsi="Times New Roman"/>
          <w:sz w:val="28"/>
        </w:rPr>
        <w:t>Papilloma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virus</w:t>
      </w:r>
      <w:r>
        <w:rPr>
          <w:rFonts w:ascii="Times New Roman" w:hAnsi="Times New Roman"/>
          <w:sz w:val="28"/>
        </w:rPr>
        <w:t>) высокого канцерогенного риска методом полимеразной цепной реакции в отделяемом (соскобе) из цервикального канала — женщинам в возрасте 21–49 лет 1 раз в 5 лет.</w:t>
      </w:r>
    </w:p>
    <w:p w14:paraId="10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положительном результате анализа на вирус папилломы человека проводится жидкостное цитологическое исследование микропрепарата шейки матки.</w:t>
      </w:r>
    </w:p>
    <w:p w14:paraId="11000000">
      <w:pPr>
        <w:numPr>
          <w:ilvl w:val="0"/>
          <w:numId w:val="1"/>
        </w:num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Лабораторное исследование мазков методом полимеразной цепной реакции в целях выявления возбудителей инфекционных заболеваний органов малого таза (</w:t>
      </w:r>
      <w:r>
        <w:rPr>
          <w:rFonts w:ascii="Times New Roman" w:hAnsi="Times New Roman"/>
          <w:sz w:val="28"/>
        </w:rPr>
        <w:t>Neisseria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gonorrhoeae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Trichomonas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vaginalis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Chlamydia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trachomatis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Mycoplasma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genitalium</w:t>
      </w:r>
      <w:r>
        <w:rPr>
          <w:rFonts w:ascii="Times New Roman" w:hAnsi="Times New Roman"/>
          <w:sz w:val="28"/>
        </w:rPr>
        <w:t>) — женщинам в возрасте 18–29 лет.</w:t>
      </w:r>
    </w:p>
    <w:p w14:paraId="12000000">
      <w:pPr>
        <w:spacing w:after="0" w:line="240" w:lineRule="auto"/>
        <w:ind w:firstLine="567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Второй этап диспансеризации у женщин 18 - 49 лет</w:t>
      </w:r>
    </w:p>
    <w:p w14:paraId="13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проводится по результатам первого этапа в целях дополнительного обследования и уточнения диагноза заболевания (состояния) при наличии показаний и включает в себя:</w:t>
      </w:r>
    </w:p>
    <w:p w14:paraId="14000000">
      <w:pPr>
        <w:pStyle w:val="Style_1"/>
        <w:numPr>
          <w:ilvl w:val="0"/>
          <w:numId w:val="2"/>
        </w:num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</w:t>
      </w:r>
      <w:r>
        <w:rPr>
          <w:rFonts w:ascii="Times New Roman" w:hAnsi="Times New Roman"/>
          <w:sz w:val="28"/>
        </w:rPr>
        <w:t>абораторное исследование мазков методом полимеразной цепной реакции в целях выявления возбудителей инфекционных заболеваний органов малого таза (</w:t>
      </w:r>
      <w:r>
        <w:rPr>
          <w:rFonts w:ascii="Times New Roman" w:hAnsi="Times New Roman"/>
          <w:sz w:val="28"/>
        </w:rPr>
        <w:t>Neisseria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gonorrhoeae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Trichomonas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vaginalis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Chlamydia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trachomatis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Mycoplasma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genitalium</w:t>
      </w:r>
      <w:r>
        <w:rPr>
          <w:rFonts w:ascii="Times New Roman" w:hAnsi="Times New Roman"/>
          <w:sz w:val="28"/>
        </w:rPr>
        <w:t>) — женщинам в возрасте 30–49 лет .</w:t>
      </w:r>
    </w:p>
    <w:p w14:paraId="15000000">
      <w:pPr>
        <w:pStyle w:val="Style_1"/>
        <w:numPr>
          <w:ilvl w:val="0"/>
          <w:numId w:val="2"/>
        </w:num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льтразвуковое исследование органов малого таза (в начале или середине менструального цикла) .</w:t>
      </w:r>
    </w:p>
    <w:p w14:paraId="16000000">
      <w:pPr>
        <w:pStyle w:val="Style_1"/>
        <w:numPr>
          <w:ilvl w:val="0"/>
          <w:numId w:val="2"/>
        </w:num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льтразвуковое исследование молочных желез.</w:t>
      </w:r>
    </w:p>
    <w:p w14:paraId="17000000">
      <w:pPr>
        <w:pStyle w:val="Style_1"/>
        <w:numPr>
          <w:ilvl w:val="0"/>
          <w:numId w:val="2"/>
        </w:numPr>
        <w:tabs>
          <w:tab w:leader="none" w:pos="720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повторный прием (осмотр) врача-акушера-гинеколога для проведения индивидуального консультирования по вопросам репродуктивного здоровья, репродуктивных установок и мотивации на рождение детей, установления (уточнения) диагноза, определения (уточнения) группы здоровья, определения группы диспансерного наблюдения. При необходимости </w:t>
      </w:r>
      <w:r>
        <w:rPr>
          <w:rFonts w:ascii="Times New Roman" w:hAnsi="Times New Roman"/>
          <w:sz w:val="28"/>
        </w:rPr>
        <w:t>направление при наличии медицинских показаний на дополнительное обследование, не входящее в объем диспансеризации.</w:t>
      </w:r>
    </w:p>
    <w:p w14:paraId="18000000">
      <w:pPr>
        <w:spacing w:after="0" w:line="240" w:lineRule="auto"/>
        <w:ind w:firstLine="73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проведенной диспансеризации формируются 3 группы здоровья:</w:t>
      </w:r>
    </w:p>
    <w:p w14:paraId="19000000">
      <w:pPr>
        <w:spacing w:after="0" w:line="240" w:lineRule="auto"/>
        <w:ind w:firstLine="73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I группа репродуктивного здоровья</w:t>
      </w:r>
      <w:r>
        <w:rPr>
          <w:rFonts w:ascii="Times New Roman" w:hAnsi="Times New Roman"/>
          <w:sz w:val="28"/>
        </w:rPr>
        <w:t> - женщины, у которых не установлены хронические гинекологические заболевания, отсутствуют факторы риска их развития;</w:t>
      </w:r>
    </w:p>
    <w:p w14:paraId="1A000000">
      <w:pPr>
        <w:spacing w:after="0" w:line="240" w:lineRule="auto"/>
        <w:ind w:firstLine="73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II группа репродуктивного здоровья</w:t>
      </w:r>
      <w:r>
        <w:rPr>
          <w:rFonts w:ascii="Times New Roman" w:hAnsi="Times New Roman"/>
          <w:sz w:val="28"/>
        </w:rPr>
        <w:t> - женщины, у которых не установлены гинекологические заболевания, но имеются факторы риска их развития (вредные привычки, хронические соматические заболевания, влияющие на репродуктивную систему). Женщины данной группы направляются к профильным врачам-специалистам или к врачу по медицинской профилактике в соответствии с выявленными заболеваниями;</w:t>
      </w:r>
    </w:p>
    <w:p w14:paraId="1B000000">
      <w:pPr>
        <w:spacing w:after="0" w:line="240" w:lineRule="auto"/>
        <w:ind w:firstLine="73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III группа репродуктивного здоровья</w:t>
      </w:r>
      <w:r>
        <w:rPr>
          <w:rFonts w:ascii="Times New Roman" w:hAnsi="Times New Roman"/>
          <w:sz w:val="28"/>
        </w:rPr>
        <w:t> - женщины, имеющие гинекологические заболевания, требующие установления диспансерного наблюдения или оказания специализированной, в том числе высокотехнологичной, медицинской помощи. Женщинам, отнесенным к III группе здоровья, в зависимости от выявленных заболеваний составляется индивидуальная программа лечения в рамках диспансерного наблюдения врачом-акушером-гинекологом.</w:t>
      </w:r>
    </w:p>
    <w:p w14:paraId="1C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Первый этап диспансеризации мужчин</w:t>
      </w:r>
      <w:r>
        <w:rPr>
          <w:rFonts w:ascii="Times New Roman" w:hAnsi="Times New Roman"/>
          <w:sz w:val="28"/>
        </w:rPr>
        <w:t> </w:t>
      </w:r>
    </w:p>
    <w:p w14:paraId="1D000000">
      <w:pPr>
        <w:spacing w:after="0" w:line="240" w:lineRule="auto"/>
        <w:ind w:firstLine="73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проводится всем мужчинам в </w:t>
      </w:r>
      <w:r>
        <w:rPr>
          <w:rFonts w:ascii="Times New Roman" w:hAnsi="Times New Roman"/>
          <w:b w:val="1"/>
          <w:sz w:val="28"/>
        </w:rPr>
        <w:t>18 - 49 лет</w:t>
      </w:r>
      <w:r>
        <w:rPr>
          <w:rFonts w:ascii="Times New Roman" w:hAnsi="Times New Roman"/>
          <w:sz w:val="28"/>
        </w:rPr>
        <w:t> и включает в себя:</w:t>
      </w:r>
    </w:p>
    <w:p w14:paraId="1E000000">
      <w:pPr>
        <w:tabs>
          <w:tab w:leader="none" w:pos="720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         </w:t>
      </w:r>
      <w:r>
        <w:rPr>
          <w:rFonts w:ascii="Times New Roman" w:hAnsi="Times New Roman"/>
          <w:sz w:val="28"/>
        </w:rPr>
        <w:t>заполнение анамнестической анкеты;</w:t>
      </w:r>
    </w:p>
    <w:p w14:paraId="1F000000">
      <w:pPr>
        <w:numPr>
          <w:ilvl w:val="0"/>
          <w:numId w:val="3"/>
        </w:num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рием (осмотр) врачом-урологом (при его отсутствии — врачом-хирургом, прошедшим подготовку по вопросам репродуктивного здоровья у мужчин</w:t>
      </w:r>
      <w:r>
        <w:rPr>
          <w:rFonts w:ascii="Times New Roman" w:hAnsi="Times New Roman"/>
          <w:sz w:val="28"/>
        </w:rPr>
        <w:t>).</w:t>
      </w:r>
    </w:p>
    <w:p w14:paraId="20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Второй этап диспансеризации мужчин</w:t>
      </w:r>
    </w:p>
    <w:p w14:paraId="21000000">
      <w:pPr>
        <w:spacing w:after="0" w:line="240" w:lineRule="auto"/>
        <w:ind w:firstLine="73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проводится по результатам первого этапа в целях дополнительного обследования и уточнения диагноза заболевания (состояния) по показаниям и включает в себя:</w:t>
      </w:r>
    </w:p>
    <w:p w14:paraId="22000000">
      <w:pPr>
        <w:numPr>
          <w:ilvl w:val="0"/>
          <w:numId w:val="4"/>
        </w:numPr>
        <w:spacing w:after="0" w:line="240" w:lineRule="auto"/>
        <w:ind w:firstLine="73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анализ эякулята (спермограмма);</w:t>
      </w:r>
    </w:p>
    <w:p w14:paraId="23000000">
      <w:pPr>
        <w:numPr>
          <w:ilvl w:val="0"/>
          <w:numId w:val="4"/>
        </w:numPr>
        <w:spacing w:after="0" w:line="240" w:lineRule="auto"/>
        <w:ind w:firstLine="73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микроскопическое исследование отделяемого мочеполовых органов (мочи, уретрального отделяемого, секрета предстательной железы, семенной жидкости), диагностику возбудителей инфекционных заболеваний органов малого таза методом ПЦР (</w:t>
      </w:r>
      <w:r>
        <w:rPr>
          <w:rFonts w:ascii="Times New Roman" w:hAnsi="Times New Roman"/>
          <w:sz w:val="28"/>
        </w:rPr>
        <w:t>Neisseria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gonorrhoeae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Trichomonas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vaginalis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Chlamydia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trachomatis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Mycoplasma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genitalium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Ureaplasma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urealyticum</w:t>
      </w:r>
      <w:r>
        <w:rPr>
          <w:rFonts w:ascii="Times New Roman" w:hAnsi="Times New Roman"/>
          <w:sz w:val="28"/>
        </w:rPr>
        <w:t>);</w:t>
      </w:r>
    </w:p>
    <w:p w14:paraId="24000000">
      <w:pPr>
        <w:numPr>
          <w:ilvl w:val="0"/>
          <w:numId w:val="4"/>
        </w:numPr>
        <w:spacing w:after="0" w:line="240" w:lineRule="auto"/>
        <w:ind w:firstLine="73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ультразвуковое исследование предстательной железы и органов мошонки;</w:t>
      </w:r>
    </w:p>
    <w:p w14:paraId="25000000">
      <w:pPr>
        <w:numPr>
          <w:ilvl w:val="0"/>
          <w:numId w:val="4"/>
        </w:numPr>
        <w:spacing w:after="0" w:line="240" w:lineRule="auto"/>
        <w:ind w:firstLine="73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повторный прием (осмотр) врача-урологом/ врача-хирурга для проведения индивидуального консультирования по вопросам репродуктивного здоровья, репродуктивных установок и мотивации на рождение детей, установления (уточнения) диагноза, определения (уточнения) группы здоровья, определения группы диспансерного </w:t>
      </w:r>
      <w:r>
        <w:rPr>
          <w:rFonts w:ascii="Times New Roman" w:hAnsi="Times New Roman"/>
          <w:sz w:val="28"/>
        </w:rPr>
        <w:t>наблюдения. При необходимости направление при наличии медицинских показаний на дополнительное обследование, не входящее в объем диспансеризации.</w:t>
      </w:r>
    </w:p>
    <w:p w14:paraId="26000000">
      <w:pPr>
        <w:spacing w:after="0" w:line="240" w:lineRule="auto"/>
        <w:ind w:firstLine="73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проведенной диспансеризации формируются 3 группы здоровья:</w:t>
      </w:r>
    </w:p>
    <w:p w14:paraId="27000000">
      <w:pPr>
        <w:spacing w:after="0" w:line="240" w:lineRule="auto"/>
        <w:ind w:firstLine="73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I группа репродуктивного здоровья</w:t>
      </w:r>
      <w:r>
        <w:rPr>
          <w:rFonts w:ascii="Times New Roman" w:hAnsi="Times New Roman"/>
          <w:sz w:val="28"/>
        </w:rPr>
        <w:t> - мужчины, у которых не установлены заболевания репродуктивной системы и отсутствуют факторы риска их развития;</w:t>
      </w:r>
    </w:p>
    <w:p w14:paraId="28000000">
      <w:pPr>
        <w:spacing w:after="0" w:line="240" w:lineRule="auto"/>
        <w:ind w:firstLine="73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II группа репродуктивного здоровья</w:t>
      </w:r>
      <w:r>
        <w:rPr>
          <w:rFonts w:ascii="Times New Roman" w:hAnsi="Times New Roman"/>
          <w:sz w:val="28"/>
        </w:rPr>
        <w:t> - мужчины, у которых не установлены заболевания репродуктивной системы, но имеются факторы риска их развития;</w:t>
      </w:r>
    </w:p>
    <w:p w14:paraId="29000000">
      <w:pPr>
        <w:spacing w:after="0" w:line="240" w:lineRule="auto"/>
        <w:ind w:firstLine="73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III группа репродуктивного здоровья</w:t>
      </w:r>
      <w:r>
        <w:rPr>
          <w:rFonts w:ascii="Times New Roman" w:hAnsi="Times New Roman"/>
          <w:sz w:val="28"/>
        </w:rPr>
        <w:t> - мужчины, имеющие заболевания репродуктивной системы или доказанное снижение фертильности. Мужчины III группы здоровья в течение 1 месяца направляются к врачу-урологу регионального Центра охраны здоровья семьи и репродукции, либо при его отсутствии к врачу-урологу отделения репродуктивного здоровья Перинатального центра, либо при его отсутствии к врачу-урологу областной больницы, получившему дополнительное образование (имеющему практический опыт) в области андрологии/диагностики и лечения заболеваний мужской репродуктивной системы.</w:t>
      </w:r>
    </w:p>
    <w:p w14:paraId="2A000000">
      <w:pPr>
        <w:spacing w:after="0" w:line="240" w:lineRule="auto"/>
        <w:ind w:firstLine="737" w:left="0"/>
        <w:jc w:val="both"/>
        <w:rPr>
          <w:rFonts w:ascii="Times New Roman" w:hAnsi="Times New Roman"/>
          <w:b w:val="1"/>
          <w:sz w:val="28"/>
        </w:rPr>
      </w:pPr>
    </w:p>
    <w:p w14:paraId="2B000000">
      <w:pPr>
        <w:spacing w:after="0" w:line="240" w:lineRule="auto"/>
        <w:ind w:firstLine="737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Порядок прохождения</w:t>
      </w:r>
    </w:p>
    <w:p w14:paraId="2C000000">
      <w:pPr>
        <w:numPr>
          <w:ilvl w:val="0"/>
          <w:numId w:val="5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Диспансеризация проводится </w:t>
      </w:r>
      <w:r>
        <w:rPr>
          <w:rFonts w:ascii="Times New Roman" w:hAnsi="Times New Roman"/>
          <w:b w:val="1"/>
          <w:sz w:val="28"/>
        </w:rPr>
        <w:t>бесплатно</w:t>
      </w:r>
      <w:r>
        <w:rPr>
          <w:rFonts w:ascii="Times New Roman" w:hAnsi="Times New Roman"/>
          <w:sz w:val="28"/>
        </w:rPr>
        <w:t> по полису ОМС в медицинской организации по месту прикрепления.</w:t>
      </w:r>
    </w:p>
    <w:p w14:paraId="2D000000">
      <w:pPr>
        <w:numPr>
          <w:ilvl w:val="0"/>
          <w:numId w:val="5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себе необходимо иметь </w:t>
      </w:r>
      <w:r>
        <w:rPr>
          <w:rFonts w:ascii="Times New Roman" w:hAnsi="Times New Roman"/>
          <w:b w:val="1"/>
          <w:sz w:val="28"/>
        </w:rPr>
        <w:t>паспорт и полис ОМС</w:t>
      </w:r>
      <w:r>
        <w:rPr>
          <w:rFonts w:ascii="Times New Roman" w:hAnsi="Times New Roman"/>
          <w:sz w:val="28"/>
        </w:rPr>
        <w:t>.</w:t>
      </w:r>
    </w:p>
    <w:p w14:paraId="2E000000">
      <w:pPr>
        <w:numPr>
          <w:ilvl w:val="0"/>
          <w:numId w:val="5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Женщины проходят УЗИ органов малого таза </w:t>
      </w:r>
      <w:r>
        <w:rPr>
          <w:rFonts w:ascii="Times New Roman" w:hAnsi="Times New Roman"/>
          <w:b w:val="1"/>
          <w:sz w:val="28"/>
        </w:rPr>
        <w:t>в начале или середине менструального цикла</w:t>
      </w:r>
      <w:r>
        <w:rPr>
          <w:rFonts w:ascii="Times New Roman" w:hAnsi="Times New Roman"/>
          <w:sz w:val="28"/>
        </w:rPr>
        <w:t>.</w:t>
      </w:r>
    </w:p>
    <w:p w14:paraId="2F000000">
      <w:pPr>
        <w:spacing w:after="0" w:line="240" w:lineRule="auto"/>
        <w:ind w:firstLine="737" w:left="0"/>
        <w:jc w:val="both"/>
        <w:rPr>
          <w:rFonts w:ascii="Times New Roman" w:hAnsi="Times New Roman"/>
          <w:sz w:val="28"/>
        </w:rPr>
      </w:pPr>
    </w:p>
    <w:sectPr>
      <w:pgSz w:h="16848" w:orient="portrait" w:w="11908"/>
      <w:pgMar w:bottom="1134" w:footer="708" w:gutter="0" w:header="708" w:left="1134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abstractNum w:abstractNumId="1">
    <w:lvl w:ilvl="0">
      <w:start w:val="1"/>
      <w:numFmt w:val="bullet"/>
      <w:lvlText w:val=""/>
      <w:lvlJc w:val="left"/>
      <w:pPr>
        <w:ind w:hanging="360" w:left="145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177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897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617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337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057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777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497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217"/>
      </w:pPr>
      <w:rPr>
        <w:rFonts w:ascii="Wingdings" w:hAnsi="Wingdings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4"/>
      </w:rPr>
    </w:rPrDefault>
    <w:pPrDefault>
      <w:pPr>
        <w:spacing w:after="16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Обычный1"/>
    <w:link w:val="Style_5_ch"/>
  </w:style>
  <w:style w:styleId="Style_5_ch" w:type="character">
    <w:name w:val="Обычный1"/>
    <w:link w:val="Style_5"/>
  </w:style>
  <w:style w:styleId="Style_6" w:type="paragraph">
    <w:name w:val="heading 7"/>
    <w:basedOn w:val="Style_2"/>
    <w:next w:val="Style_2"/>
    <w:link w:val="Style_6_ch"/>
    <w:uiPriority w:val="9"/>
    <w:qFormat/>
    <w:pPr>
      <w:keepNext w:val="1"/>
      <w:keepLines w:val="1"/>
      <w:spacing w:after="0" w:before="40"/>
      <w:ind/>
      <w:outlineLvl w:val="6"/>
    </w:pPr>
    <w:rPr>
      <w:color w:themeColor="text1" w:themeTint="A6" w:val="595959"/>
    </w:rPr>
  </w:style>
  <w:style w:styleId="Style_6_ch" w:type="character">
    <w:name w:val="heading 7"/>
    <w:basedOn w:val="Style_2_ch"/>
    <w:link w:val="Style_6"/>
    <w:rPr>
      <w:color w:themeColor="text1" w:themeTint="A6" w:val="595959"/>
    </w:rPr>
  </w:style>
  <w:style w:styleId="Style_7" w:type="paragraph">
    <w:name w:val="toc 6"/>
    <w:next w:val="Style_2"/>
    <w:link w:val="Style_7_ch"/>
    <w:uiPriority w:val="39"/>
    <w:pPr>
      <w:ind w:firstLine="0" w:left="1000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2"/>
    <w:link w:val="Style_8_ch"/>
    <w:uiPriority w:val="39"/>
    <w:pPr>
      <w:ind w:firstLine="0" w:left="1200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basedOn w:val="Style_2"/>
    <w:next w:val="Style_2"/>
    <w:link w:val="Style_10_ch"/>
    <w:uiPriority w:val="9"/>
    <w:qFormat/>
    <w:pPr>
      <w:keepNext w:val="1"/>
      <w:keepLines w:val="1"/>
      <w:spacing w:after="80" w:before="160"/>
      <w:ind/>
      <w:outlineLvl w:val="2"/>
    </w:pPr>
    <w:rPr>
      <w:color w:themeColor="accent1" w:themeShade="BF" w:val="2F5496"/>
      <w:sz w:val="28"/>
    </w:rPr>
  </w:style>
  <w:style w:styleId="Style_10_ch" w:type="character">
    <w:name w:val="heading 3"/>
    <w:basedOn w:val="Style_2_ch"/>
    <w:link w:val="Style_10"/>
    <w:rPr>
      <w:color w:themeColor="accent1" w:themeShade="BF" w:val="2F5496"/>
      <w:sz w:val="28"/>
    </w:rPr>
  </w:style>
  <w:style w:styleId="Style_11" w:type="paragraph">
    <w:name w:val="Intense Quote"/>
    <w:basedOn w:val="Style_2"/>
    <w:next w:val="Style_2"/>
    <w:link w:val="Style_11_ch"/>
    <w:pPr>
      <w:spacing w:after="360" w:before="360"/>
      <w:ind w:firstLine="0" w:left="864" w:right="864"/>
      <w:jc w:val="center"/>
    </w:pPr>
    <w:rPr>
      <w:i w:val="1"/>
      <w:color w:themeColor="accent1" w:themeShade="BF" w:val="2F5496"/>
    </w:rPr>
  </w:style>
  <w:style w:styleId="Style_11_ch" w:type="character">
    <w:name w:val="Intense Quote"/>
    <w:basedOn w:val="Style_2_ch"/>
    <w:link w:val="Style_11"/>
    <w:rPr>
      <w:i w:val="1"/>
      <w:color w:themeColor="accent1" w:themeShade="BF" w:val="2F5496"/>
    </w:rPr>
  </w:style>
  <w:style w:styleId="Style_12" w:type="paragraph">
    <w:name w:val="heading 9"/>
    <w:basedOn w:val="Style_2"/>
    <w:next w:val="Style_2"/>
    <w:link w:val="Style_12_ch"/>
    <w:uiPriority w:val="9"/>
    <w:qFormat/>
    <w:pPr>
      <w:keepNext w:val="1"/>
      <w:keepLines w:val="1"/>
      <w:spacing w:after="0"/>
      <w:ind/>
      <w:outlineLvl w:val="8"/>
    </w:pPr>
    <w:rPr>
      <w:color w:themeColor="text1" w:themeTint="D8" w:val="272727"/>
    </w:rPr>
  </w:style>
  <w:style w:styleId="Style_12_ch" w:type="character">
    <w:name w:val="heading 9"/>
    <w:basedOn w:val="Style_2_ch"/>
    <w:link w:val="Style_12"/>
    <w:rPr>
      <w:color w:themeColor="text1" w:themeTint="D8" w:val="272727"/>
    </w:rPr>
  </w:style>
  <w:style w:styleId="Style_13" w:type="paragraph">
    <w:name w:val="Гиперссылка1"/>
    <w:link w:val="Style_13_ch"/>
    <w:rPr>
      <w:color w:val="0000FF"/>
      <w:u w:val="single"/>
    </w:rPr>
  </w:style>
  <w:style w:styleId="Style_13_ch" w:type="character">
    <w:name w:val="Гиперссылка1"/>
    <w:link w:val="Style_13"/>
    <w:rPr>
      <w:color w:val="0000FF"/>
      <w:u w:val="single"/>
    </w:rPr>
  </w:style>
  <w:style w:styleId="Style_14" w:type="paragraph">
    <w:name w:val="Strong"/>
    <w:basedOn w:val="Style_15"/>
    <w:link w:val="Style_14_ch"/>
    <w:rPr>
      <w:b w:val="1"/>
    </w:rPr>
  </w:style>
  <w:style w:styleId="Style_14_ch" w:type="character">
    <w:name w:val="Strong"/>
    <w:basedOn w:val="Style_15_ch"/>
    <w:link w:val="Style_14"/>
    <w:rPr>
      <w:b w:val="1"/>
    </w:rPr>
  </w:style>
  <w:style w:styleId="Style_16" w:type="paragraph">
    <w:name w:val="toc 3"/>
    <w:next w:val="Style_2"/>
    <w:link w:val="Style_16_ch"/>
    <w:uiPriority w:val="39"/>
    <w:pPr>
      <w:ind w:firstLine="0" w:left="400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Основной шрифт абзаца1"/>
    <w:link w:val="Style_17_ch"/>
  </w:style>
  <w:style w:styleId="Style_17_ch" w:type="character">
    <w:name w:val="Основной шрифт абзаца1"/>
    <w:link w:val="Style_17"/>
  </w:style>
  <w:style w:styleId="Style_18" w:type="paragraph">
    <w:name w:val="heading 5"/>
    <w:basedOn w:val="Style_2"/>
    <w:next w:val="Style_2"/>
    <w:link w:val="Style_18_ch"/>
    <w:uiPriority w:val="9"/>
    <w:qFormat/>
    <w:pPr>
      <w:keepNext w:val="1"/>
      <w:keepLines w:val="1"/>
      <w:spacing w:after="40" w:before="80"/>
      <w:ind/>
      <w:outlineLvl w:val="4"/>
    </w:pPr>
    <w:rPr>
      <w:color w:themeColor="accent1" w:themeShade="BF" w:val="2F5496"/>
    </w:rPr>
  </w:style>
  <w:style w:styleId="Style_18_ch" w:type="character">
    <w:name w:val="heading 5"/>
    <w:basedOn w:val="Style_2_ch"/>
    <w:link w:val="Style_18"/>
    <w:rPr>
      <w:color w:themeColor="accent1" w:themeShade="BF" w:val="2F5496"/>
    </w:rPr>
  </w:style>
  <w:style w:styleId="Style_19" w:type="paragraph">
    <w:name w:val="ds-markdown-paragraph"/>
    <w:basedOn w:val="Style_2"/>
    <w:link w:val="Style_19_ch"/>
    <w:pPr>
      <w:spacing w:afterAutospacing="on" w:beforeAutospacing="on" w:line="240" w:lineRule="auto"/>
      <w:ind/>
    </w:pPr>
    <w:rPr>
      <w:rFonts w:ascii="Times New Roman" w:hAnsi="Times New Roman"/>
      <w:color w:val="000000"/>
    </w:rPr>
  </w:style>
  <w:style w:styleId="Style_19_ch" w:type="character">
    <w:name w:val="ds-markdown-paragraph"/>
    <w:basedOn w:val="Style_2_ch"/>
    <w:link w:val="Style_19"/>
    <w:rPr>
      <w:rFonts w:ascii="Times New Roman" w:hAnsi="Times New Roman"/>
      <w:color w:val="000000"/>
    </w:rPr>
  </w:style>
  <w:style w:styleId="Style_20" w:type="paragraph">
    <w:name w:val="heading 1"/>
    <w:basedOn w:val="Style_2"/>
    <w:next w:val="Style_2"/>
    <w:link w:val="Style_20_ch"/>
    <w:uiPriority w:val="9"/>
    <w:qFormat/>
    <w:pPr>
      <w:keepNext w:val="1"/>
      <w:keepLines w:val="1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20_ch" w:type="character">
    <w:name w:val="heading 1"/>
    <w:basedOn w:val="Style_2_ch"/>
    <w:link w:val="Style_20"/>
    <w:rPr>
      <w:rFonts w:asciiTheme="majorAscii" w:hAnsiTheme="majorHAnsi"/>
      <w:color w:themeColor="accent1" w:themeShade="BF" w:val="2F5496"/>
      <w:sz w:val="40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heading 8"/>
    <w:basedOn w:val="Style_2"/>
    <w:next w:val="Style_2"/>
    <w:link w:val="Style_23_ch"/>
    <w:uiPriority w:val="9"/>
    <w:qFormat/>
    <w:pPr>
      <w:keepNext w:val="1"/>
      <w:keepLines w:val="1"/>
      <w:spacing w:after="0"/>
      <w:ind/>
      <w:outlineLvl w:val="7"/>
    </w:pPr>
    <w:rPr>
      <w:i w:val="1"/>
      <w:color w:themeColor="text1" w:themeTint="D8" w:val="272727"/>
    </w:rPr>
  </w:style>
  <w:style w:styleId="Style_23_ch" w:type="character">
    <w:name w:val="heading 8"/>
    <w:basedOn w:val="Style_2_ch"/>
    <w:link w:val="Style_23"/>
    <w:rPr>
      <w:i w:val="1"/>
      <w:color w:themeColor="text1" w:themeTint="D8" w:val="272727"/>
    </w:rPr>
  </w:style>
  <w:style w:styleId="Style_24" w:type="paragraph">
    <w:name w:val="toc 1"/>
    <w:next w:val="Style_2"/>
    <w:link w:val="Style_24_ch"/>
    <w:uiPriority w:val="39"/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8"/>
    </w:rPr>
  </w:style>
  <w:style w:styleId="Style_25_ch" w:type="character">
    <w:name w:val="Header and Footer"/>
    <w:link w:val="Style_25"/>
    <w:rPr>
      <w:rFonts w:ascii="XO Thames" w:hAnsi="XO Thames"/>
      <w:sz w:val="28"/>
    </w:rPr>
  </w:style>
  <w:style w:styleId="Style_26" w:type="paragraph">
    <w:name w:val="toc 9"/>
    <w:next w:val="Style_2"/>
    <w:link w:val="Style_26_ch"/>
    <w:uiPriority w:val="39"/>
    <w:pPr>
      <w:ind w:firstLine="0" w:left="1600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1" w:type="paragraph">
    <w:name w:val="List Paragraph"/>
    <w:basedOn w:val="Style_2"/>
    <w:link w:val="Style_1_ch"/>
    <w:pPr>
      <w:ind w:firstLine="0" w:left="720"/>
      <w:contextualSpacing w:val="1"/>
    </w:pPr>
  </w:style>
  <w:style w:styleId="Style_1_ch" w:type="character">
    <w:name w:val="List Paragraph"/>
    <w:basedOn w:val="Style_2_ch"/>
    <w:link w:val="Style_1"/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27" w:type="paragraph">
    <w:name w:val="Сильная ссылка1"/>
    <w:basedOn w:val="Style_17"/>
    <w:link w:val="Style_27_ch"/>
    <w:rPr>
      <w:b w:val="1"/>
      <w:smallCaps w:val="1"/>
      <w:color w:themeColor="accent1" w:themeShade="BF" w:val="2F5496"/>
      <w:spacing w:val="5"/>
    </w:rPr>
  </w:style>
  <w:style w:styleId="Style_27_ch" w:type="character">
    <w:name w:val="Сильная ссылка1"/>
    <w:basedOn w:val="Style_17_ch"/>
    <w:link w:val="Style_27"/>
    <w:rPr>
      <w:b w:val="1"/>
      <w:smallCaps w:val="1"/>
      <w:color w:themeColor="accent1" w:themeShade="BF" w:val="2F5496"/>
      <w:spacing w:val="5"/>
    </w:rPr>
  </w:style>
  <w:style w:styleId="Style_28" w:type="paragraph">
    <w:name w:val="Quote"/>
    <w:basedOn w:val="Style_2"/>
    <w:next w:val="Style_2"/>
    <w:link w:val="Style_28_ch"/>
    <w:pPr>
      <w:spacing w:before="160"/>
      <w:ind/>
      <w:jc w:val="center"/>
    </w:pPr>
    <w:rPr>
      <w:i w:val="1"/>
      <w:color w:themeColor="text1" w:themeTint="BF" w:val="404040"/>
    </w:rPr>
  </w:style>
  <w:style w:styleId="Style_28_ch" w:type="character">
    <w:name w:val="Quote"/>
    <w:basedOn w:val="Style_2_ch"/>
    <w:link w:val="Style_28"/>
    <w:rPr>
      <w:i w:val="1"/>
      <w:color w:themeColor="text1" w:themeTint="BF" w:val="404040"/>
    </w:rPr>
  </w:style>
  <w:style w:styleId="Style_29" w:type="paragraph">
    <w:name w:val="toc 8"/>
    <w:next w:val="Style_2"/>
    <w:link w:val="Style_29_ch"/>
    <w:uiPriority w:val="39"/>
    <w:pPr>
      <w:ind w:firstLine="0" w:left="1400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Сильное выделение1"/>
    <w:basedOn w:val="Style_17"/>
    <w:link w:val="Style_30_ch"/>
    <w:rPr>
      <w:i w:val="1"/>
      <w:color w:themeColor="accent1" w:themeShade="BF" w:val="2F5496"/>
    </w:rPr>
  </w:style>
  <w:style w:styleId="Style_30_ch" w:type="character">
    <w:name w:val="Сильное выделение1"/>
    <w:basedOn w:val="Style_17_ch"/>
    <w:link w:val="Style_30"/>
    <w:rPr>
      <w:i w:val="1"/>
      <w:color w:themeColor="accent1" w:themeShade="BF" w:val="2F5496"/>
    </w:rPr>
  </w:style>
  <w:style w:styleId="Style_31" w:type="paragraph">
    <w:name w:val="toc 5"/>
    <w:next w:val="Style_2"/>
    <w:link w:val="Style_31_ch"/>
    <w:uiPriority w:val="39"/>
    <w:pPr>
      <w:ind w:firstLine="0" w:left="800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32" w:type="paragraph">
    <w:name w:val="Subtitle"/>
    <w:basedOn w:val="Style_2"/>
    <w:next w:val="Style_2"/>
    <w:link w:val="Style_32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32_ch" w:type="character">
    <w:name w:val="Subtitle"/>
    <w:basedOn w:val="Style_2_ch"/>
    <w:link w:val="Style_32"/>
    <w:rPr>
      <w:color w:themeColor="text1" w:themeTint="A6" w:val="595959"/>
      <w:spacing w:val="15"/>
      <w:sz w:val="28"/>
    </w:rPr>
  </w:style>
  <w:style w:styleId="Style_33" w:type="paragraph">
    <w:name w:val="Title"/>
    <w:basedOn w:val="Style_2"/>
    <w:next w:val="Style_2"/>
    <w:link w:val="Style_33_ch"/>
    <w:uiPriority w:val="10"/>
    <w:qFormat/>
    <w:pPr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33_ch" w:type="character">
    <w:name w:val="Title"/>
    <w:basedOn w:val="Style_2_ch"/>
    <w:link w:val="Style_33"/>
    <w:rPr>
      <w:rFonts w:asciiTheme="majorAscii" w:hAnsiTheme="majorHAnsi"/>
      <w:spacing w:val="-10"/>
      <w:sz w:val="56"/>
    </w:rPr>
  </w:style>
  <w:style w:styleId="Style_34" w:type="paragraph">
    <w:name w:val="heading 4"/>
    <w:basedOn w:val="Style_2"/>
    <w:next w:val="Style_2"/>
    <w:link w:val="Style_34_ch"/>
    <w:uiPriority w:val="9"/>
    <w:qFormat/>
    <w:pPr>
      <w:keepNext w:val="1"/>
      <w:keepLines w:val="1"/>
      <w:spacing w:after="40" w:before="80"/>
      <w:ind/>
      <w:outlineLvl w:val="3"/>
    </w:pPr>
    <w:rPr>
      <w:i w:val="1"/>
      <w:color w:themeColor="accent1" w:themeShade="BF" w:val="2F5496"/>
    </w:rPr>
  </w:style>
  <w:style w:styleId="Style_34_ch" w:type="character">
    <w:name w:val="heading 4"/>
    <w:basedOn w:val="Style_2_ch"/>
    <w:link w:val="Style_34"/>
    <w:rPr>
      <w:i w:val="1"/>
      <w:color w:themeColor="accent1" w:themeShade="BF" w:val="2F5496"/>
    </w:rPr>
  </w:style>
  <w:style w:styleId="Style_35" w:type="paragraph">
    <w:name w:val="heading 2"/>
    <w:basedOn w:val="Style_2"/>
    <w:next w:val="Style_2"/>
    <w:link w:val="Style_35_ch"/>
    <w:uiPriority w:val="9"/>
    <w:qFormat/>
    <w:pPr>
      <w:keepNext w:val="1"/>
      <w:keepLines w:val="1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35_ch" w:type="character">
    <w:name w:val="heading 2"/>
    <w:basedOn w:val="Style_2_ch"/>
    <w:link w:val="Style_35"/>
    <w:rPr>
      <w:rFonts w:asciiTheme="majorAscii" w:hAnsiTheme="majorHAnsi"/>
      <w:color w:themeColor="accent1" w:themeShade="BF" w:val="2F5496"/>
      <w:sz w:val="32"/>
    </w:rPr>
  </w:style>
  <w:style w:styleId="Style_36" w:type="paragraph">
    <w:name w:val="heading 6"/>
    <w:basedOn w:val="Style_2"/>
    <w:next w:val="Style_2"/>
    <w:link w:val="Style_36_ch"/>
    <w:uiPriority w:val="9"/>
    <w:qFormat/>
    <w:pPr>
      <w:keepNext w:val="1"/>
      <w:keepLines w:val="1"/>
      <w:spacing w:after="0" w:before="40"/>
      <w:ind/>
      <w:outlineLvl w:val="5"/>
    </w:pPr>
    <w:rPr>
      <w:i w:val="1"/>
      <w:color w:themeColor="text1" w:themeTint="A6" w:val="595959"/>
    </w:rPr>
  </w:style>
  <w:style w:styleId="Style_36_ch" w:type="character">
    <w:name w:val="heading 6"/>
    <w:basedOn w:val="Style_2_ch"/>
    <w:link w:val="Style_36"/>
    <w:rPr>
      <w:i w:val="1"/>
      <w:color w:themeColor="text1" w:themeTint="A6" w:val="595959"/>
    </w:rPr>
  </w:style>
  <w:style w:default="1" w:styleId="Style_3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MyOffice-CoreFramework-Linux/30-1057.739.7957.691.1@09beace3f703645d68d755fb6342d49db1c39c18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2026-04-15T07:31:23Z</dcterms:modified>
</cp:coreProperties>
</file>